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FB" w:rsidRDefault="00881AFB" w:rsidP="00881AFB">
      <w:pPr>
        <w:pStyle w:val="Heading1"/>
        <w:ind w:left="-2790" w:right="-3420" w:firstLine="2790"/>
      </w:pPr>
      <w:bookmarkStart w:id="0" w:name="_GoBack"/>
      <w:bookmarkEnd w:id="0"/>
      <w:r>
        <w:t>Methods and Approaches to the Interpretation of Art and Art History</w:t>
      </w:r>
    </w:p>
    <w:p w:rsidR="00881AFB" w:rsidRDefault="00881AFB" w:rsidP="00881AFB">
      <w:r>
        <w:t>082:506</w:t>
      </w:r>
    </w:p>
    <w:p w:rsidR="00881AFB" w:rsidRDefault="00881AFB" w:rsidP="00881AFB">
      <w:r>
        <w:t>Tuesdays 1:00-3:40</w:t>
      </w:r>
    </w:p>
    <w:p w:rsidR="00881AFB" w:rsidRDefault="00881AFB" w:rsidP="00881AFB"/>
    <w:p w:rsidR="00881AFB" w:rsidRDefault="00881AFB" w:rsidP="00881AFB">
      <w:r>
        <w:t>Professor Laura Weigert</w:t>
      </w:r>
    </w:p>
    <w:p w:rsidR="00881AFB" w:rsidRDefault="00881AFB" w:rsidP="00881AFB">
      <w:r>
        <w:t>60 College Avenue</w:t>
      </w:r>
    </w:p>
    <w:p w:rsidR="00881AFB" w:rsidRDefault="00881AFB" w:rsidP="00881AFB">
      <w:r>
        <w:t>Office Hours: by appointment.</w:t>
      </w:r>
    </w:p>
    <w:p w:rsidR="00881AFB" w:rsidRDefault="006F2B27" w:rsidP="00881AFB">
      <w:hyperlink r:id="rId5" w:history="1">
        <w:r w:rsidR="00881AFB">
          <w:rPr>
            <w:rStyle w:val="Hyperlink"/>
          </w:rPr>
          <w:t>weigert@arthist.rutgers.edu</w:t>
        </w:r>
      </w:hyperlink>
    </w:p>
    <w:p w:rsidR="00881AFB" w:rsidRDefault="00881AFB" w:rsidP="00881AFB"/>
    <w:p w:rsidR="00881AFB" w:rsidRDefault="00881AFB" w:rsidP="00881AFB">
      <w:r>
        <w:t>This graduate seminar is an introduction to the historiography of art history and to the range of methods and theories in the interpretation of art and its history from the foundation of the discipline to the present.</w:t>
      </w:r>
    </w:p>
    <w:p w:rsidR="00881AFB" w:rsidRDefault="00881AFB" w:rsidP="00881AFB"/>
    <w:p w:rsidR="00881AFB" w:rsidRDefault="00881AFB" w:rsidP="00881AFB">
      <w:pPr>
        <w:rPr>
          <w:b/>
        </w:rPr>
      </w:pPr>
      <w:r>
        <w:rPr>
          <w:b/>
        </w:rPr>
        <w:t>Requirements:</w:t>
      </w:r>
    </w:p>
    <w:p w:rsidR="00881AFB" w:rsidRDefault="00881AFB" w:rsidP="00881AFB">
      <w:pPr>
        <w:numPr>
          <w:ilvl w:val="0"/>
          <w:numId w:val="1"/>
        </w:numPr>
      </w:pPr>
      <w:r>
        <w:t>Participation in all seminar meetings.</w:t>
      </w:r>
    </w:p>
    <w:p w:rsidR="00881AFB" w:rsidRDefault="00881AFB" w:rsidP="00881AFB">
      <w:pPr>
        <w:numPr>
          <w:ilvl w:val="0"/>
          <w:numId w:val="1"/>
        </w:numPr>
        <w:rPr>
          <w:rFonts w:eastAsia="Times New Roman"/>
        </w:rPr>
      </w:pPr>
      <w:r>
        <w:t xml:space="preserve">Serving as Leader of two seminar meetings. </w:t>
      </w:r>
    </w:p>
    <w:p w:rsidR="00881AFB" w:rsidRDefault="00881AFB" w:rsidP="00881AFB">
      <w:pPr>
        <w:rPr>
          <w:rFonts w:eastAsia="Times New Roman"/>
        </w:rPr>
      </w:pPr>
      <w:r>
        <w:t>You may but are not required to provide images to focus the discussion and should use the other participants’ questions as a guide.</w:t>
      </w:r>
    </w:p>
    <w:p w:rsidR="00881AFB" w:rsidRDefault="00881AFB" w:rsidP="00881AFB">
      <w:pPr>
        <w:numPr>
          <w:ilvl w:val="0"/>
          <w:numId w:val="1"/>
        </w:numPr>
        <w:rPr>
          <w:rFonts w:eastAsia="Times New Roman"/>
        </w:rPr>
      </w:pPr>
      <w:r>
        <w:t xml:space="preserve">6 critical response papers, no longer than 2 pages each, due in seminar meeting. </w:t>
      </w:r>
    </w:p>
    <w:p w:rsidR="00881AFB" w:rsidRDefault="00881AFB" w:rsidP="00881AFB">
      <w:r>
        <w:rPr>
          <w:rFonts w:eastAsia="Times New Roman"/>
        </w:rPr>
        <w:t>These responses should include a thoughtful reflection on the reading/s and its/their most valuable point or issue. What is the question to which the author(s) attempt to respond or the problem they try to solve? What are the potential limitations or challenges of framing a study through this lens?</w:t>
      </w:r>
    </w:p>
    <w:p w:rsidR="00881AFB" w:rsidRDefault="00881AFB" w:rsidP="00881AFB">
      <w:r>
        <w:t>The paper in which you are least satisfied will not be factored into your final grade.</w:t>
      </w:r>
    </w:p>
    <w:p w:rsidR="00881AFB" w:rsidRDefault="00881AFB" w:rsidP="00881AFB">
      <w:pPr>
        <w:numPr>
          <w:ilvl w:val="0"/>
          <w:numId w:val="1"/>
        </w:numPr>
      </w:pPr>
      <w:r>
        <w:t xml:space="preserve">Two substantive questions concerning the readings, to be submitted on Sakai by midnight on Mondays, except for seminar leaders. </w:t>
      </w:r>
    </w:p>
    <w:p w:rsidR="00881AFB" w:rsidRDefault="00881AFB" w:rsidP="00881AFB">
      <w:pPr>
        <w:numPr>
          <w:ilvl w:val="0"/>
          <w:numId w:val="1"/>
        </w:numPr>
      </w:pPr>
      <w:r>
        <w:t>An expanded (5-pages) version of one of your critical response papers, on which you will give a brief oral summary on December 13 and submit on December 15.</w:t>
      </w:r>
    </w:p>
    <w:p w:rsidR="00881AFB" w:rsidRDefault="00881AFB" w:rsidP="00881AFB"/>
    <w:p w:rsidR="00881AFB" w:rsidRDefault="00881AFB" w:rsidP="00881AFB">
      <w:pPr>
        <w:rPr>
          <w:b/>
        </w:rPr>
      </w:pPr>
      <w:r>
        <w:rPr>
          <w:b/>
        </w:rPr>
        <w:t>Useful surveys of art historical methods and writing include:</w:t>
      </w:r>
    </w:p>
    <w:p w:rsidR="00881AFB" w:rsidRDefault="00881AFB" w:rsidP="00881AFB">
      <w:r>
        <w:t xml:space="preserve">-Michael Hatt and Charlotte Klonk, </w:t>
      </w:r>
      <w:r>
        <w:rPr>
          <w:i/>
        </w:rPr>
        <w:t>Art History. A critical introduction to its methods</w:t>
      </w:r>
      <w:r>
        <w:t xml:space="preserve">  </w:t>
      </w:r>
    </w:p>
    <w:p w:rsidR="00881AFB" w:rsidRDefault="00881AFB" w:rsidP="00881AFB">
      <w:pPr>
        <w:ind w:firstLine="720"/>
      </w:pPr>
      <w:r>
        <w:t>(Manchester and New York, 2006).</w:t>
      </w:r>
    </w:p>
    <w:p w:rsidR="00881AFB" w:rsidRDefault="00881AFB" w:rsidP="00881AFB">
      <w:r>
        <w:rPr>
          <w:i/>
        </w:rPr>
        <w:t>-Art History and Its Methods</w:t>
      </w:r>
      <w:r>
        <w:t>, ed. Eric Fernie (London: Phaidon, 1995).</w:t>
      </w:r>
    </w:p>
    <w:p w:rsidR="00881AFB" w:rsidRDefault="00881AFB" w:rsidP="00881AFB">
      <w:r>
        <w:rPr>
          <w:i/>
        </w:rPr>
        <w:t>-The Art of Art History: A Critical Anthology</w:t>
      </w:r>
      <w:r>
        <w:t>, ed. Donald Preziosi</w:t>
      </w:r>
      <w:r>
        <w:rPr>
          <w:i/>
        </w:rPr>
        <w:t xml:space="preserve"> </w:t>
      </w:r>
      <w:r>
        <w:t>(Oxford: Oxford</w:t>
      </w:r>
    </w:p>
    <w:p w:rsidR="00881AFB" w:rsidRDefault="00881AFB" w:rsidP="00881AFB">
      <w:pPr>
        <w:ind w:firstLine="720"/>
      </w:pPr>
      <w:r>
        <w:t>University Press, 1998)</w:t>
      </w:r>
    </w:p>
    <w:p w:rsidR="00881AFB" w:rsidRDefault="00881AFB" w:rsidP="00881AFB">
      <w:r>
        <w:rPr>
          <w:i/>
        </w:rPr>
        <w:t>-Critical Terms for Art History</w:t>
      </w:r>
      <w:r>
        <w:t>, eds. Robert Nelson and Richard Schiff (Chicago:</w:t>
      </w:r>
    </w:p>
    <w:p w:rsidR="00881AFB" w:rsidRDefault="00881AFB" w:rsidP="00881AFB">
      <w:pPr>
        <w:ind w:firstLine="720"/>
        <w:rPr>
          <w:rFonts w:eastAsia="Times New Roman"/>
        </w:rPr>
      </w:pPr>
      <w:r>
        <w:t>University of Chicago Press, 1996; second edition, 2003).</w:t>
      </w:r>
    </w:p>
    <w:p w:rsidR="00881AFB" w:rsidRDefault="00881AFB" w:rsidP="00881AFB">
      <w:pPr>
        <w:widowControl w:val="0"/>
        <w:autoSpaceDE w:val="0"/>
        <w:autoSpaceDN w:val="0"/>
        <w:adjustRightInd w:val="0"/>
        <w:rPr>
          <w:rFonts w:eastAsia="Times New Roman"/>
        </w:rPr>
      </w:pPr>
      <w:r>
        <w:rPr>
          <w:rFonts w:eastAsia="Times New Roman"/>
        </w:rPr>
        <w:t xml:space="preserve">Chris Murray ed., </w:t>
      </w:r>
      <w:r>
        <w:rPr>
          <w:rFonts w:eastAsia="Times New Roman"/>
          <w:i/>
        </w:rPr>
        <w:t>Key Writers of Art: From Antiquity to the Nineteenth Century</w:t>
      </w:r>
    </w:p>
    <w:p w:rsidR="00881AFB" w:rsidRDefault="00881AFB" w:rsidP="00881AFB">
      <w:pPr>
        <w:widowControl w:val="0"/>
        <w:autoSpaceDE w:val="0"/>
        <w:autoSpaceDN w:val="0"/>
        <w:adjustRightInd w:val="0"/>
        <w:ind w:firstLine="720"/>
        <w:rPr>
          <w:rFonts w:eastAsia="Times New Roman"/>
        </w:rPr>
      </w:pPr>
      <w:r>
        <w:rPr>
          <w:rFonts w:eastAsia="Times New Roman"/>
        </w:rPr>
        <w:t>(Abingdon and New York: Routledge: 2003)</w:t>
      </w:r>
    </w:p>
    <w:p w:rsidR="00881AFB" w:rsidRDefault="00881AFB" w:rsidP="00881AFB">
      <w:r>
        <w:rPr>
          <w:rFonts w:eastAsia="Times New Roman"/>
        </w:rPr>
        <w:t xml:space="preserve">Chris Murray ed., </w:t>
      </w:r>
      <w:r>
        <w:rPr>
          <w:rFonts w:eastAsia="Times New Roman"/>
          <w:i/>
        </w:rPr>
        <w:t>Key Writers on Art: The Twentieth Century</w:t>
      </w:r>
      <w:r>
        <w:rPr>
          <w:rFonts w:eastAsia="Times New Roman"/>
        </w:rPr>
        <w:t xml:space="preserve"> (Abingdon and New York:</w:t>
      </w:r>
      <w:r>
        <w:rPr>
          <w:rFonts w:eastAsia="Times New Roman"/>
        </w:rPr>
        <w:tab/>
        <w:t>Routledge 2003)</w:t>
      </w:r>
    </w:p>
    <w:p w:rsidR="00881AFB" w:rsidRDefault="00881AFB" w:rsidP="00881AFB">
      <w:pPr>
        <w:widowControl w:val="0"/>
        <w:autoSpaceDE w:val="0"/>
        <w:autoSpaceDN w:val="0"/>
        <w:adjustRightInd w:val="0"/>
        <w:rPr>
          <w:rFonts w:eastAsia="Times New Roman"/>
        </w:rPr>
      </w:pPr>
      <w:r>
        <w:rPr>
          <w:rFonts w:eastAsia="Times New Roman"/>
        </w:rPr>
        <w:t xml:space="preserve">Margaret Iversen and Stephen Melville, </w:t>
      </w:r>
      <w:r>
        <w:rPr>
          <w:rFonts w:eastAsia="Times New Roman"/>
          <w:i/>
        </w:rPr>
        <w:t>Writing Art History. Disciplinary Departures</w:t>
      </w:r>
      <w:r>
        <w:rPr>
          <w:rFonts w:eastAsia="Times New Roman"/>
        </w:rPr>
        <w:t>,</w:t>
      </w:r>
    </w:p>
    <w:p w:rsidR="00881AFB" w:rsidRDefault="00881AFB" w:rsidP="00881AFB">
      <w:pPr>
        <w:widowControl w:val="0"/>
        <w:autoSpaceDE w:val="0"/>
        <w:autoSpaceDN w:val="0"/>
        <w:adjustRightInd w:val="0"/>
        <w:ind w:firstLine="720"/>
        <w:rPr>
          <w:rFonts w:eastAsia="Times New Roman"/>
        </w:rPr>
      </w:pPr>
      <w:r>
        <w:rPr>
          <w:rFonts w:eastAsia="Times New Roman"/>
        </w:rPr>
        <w:t>(Chicago: University of Chicago Press, 2010).</w:t>
      </w:r>
    </w:p>
    <w:p w:rsidR="00881AFB" w:rsidRDefault="00881AFB" w:rsidP="00881AFB">
      <w:pPr>
        <w:rPr>
          <w:rFonts w:eastAsia="Times New Roman"/>
        </w:rPr>
      </w:pPr>
    </w:p>
    <w:p w:rsidR="00881AFB" w:rsidRDefault="00881AFB" w:rsidP="00881AFB">
      <w:r>
        <w:rPr>
          <w:rFonts w:eastAsia="Times New Roman"/>
        </w:rPr>
        <w:t>All readings listed on the syllabus are available under resources on Sakai.</w:t>
      </w:r>
    </w:p>
    <w:p w:rsidR="00E06F34" w:rsidRDefault="00E06F34"/>
    <w:sectPr w:rsidR="00E06F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12DAE"/>
    <w:multiLevelType w:val="hybridMultilevel"/>
    <w:tmpl w:val="0BCC0E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FB"/>
    <w:rsid w:val="006F2B27"/>
    <w:rsid w:val="00881AFB"/>
    <w:rsid w:val="00E0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A6D45677-6E33-4C98-A03C-99D7C5D6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NewRomanPSMT"/>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FB"/>
    <w:rPr>
      <w:rFonts w:ascii="Times" w:eastAsia="Times" w:hAnsi="Times" w:cs="Times New Roman"/>
      <w:noProof/>
      <w:szCs w:val="20"/>
      <w:lang w:eastAsia="en-US"/>
    </w:rPr>
  </w:style>
  <w:style w:type="paragraph" w:styleId="Heading1">
    <w:name w:val="heading 1"/>
    <w:basedOn w:val="Normal"/>
    <w:next w:val="Normal"/>
    <w:link w:val="Heading1Char"/>
    <w:qFormat/>
    <w:rsid w:val="00881AF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AFB"/>
    <w:rPr>
      <w:rFonts w:ascii="Times" w:eastAsia="Times" w:hAnsi="Times" w:cs="Times New Roman"/>
      <w:b/>
      <w:noProof/>
      <w:szCs w:val="20"/>
      <w:lang w:eastAsia="en-US"/>
    </w:rPr>
  </w:style>
  <w:style w:type="character" w:styleId="Hyperlink">
    <w:name w:val="Hyperlink"/>
    <w:rsid w:val="00881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igert@rci.rutg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Weigert</dc:creator>
  <cp:keywords/>
  <dc:description/>
  <cp:lastModifiedBy>Geralyn Colvil</cp:lastModifiedBy>
  <cp:revision>2</cp:revision>
  <dcterms:created xsi:type="dcterms:W3CDTF">2018-07-23T15:14:00Z</dcterms:created>
  <dcterms:modified xsi:type="dcterms:W3CDTF">2018-07-23T15:14:00Z</dcterms:modified>
</cp:coreProperties>
</file>